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8-6.1 Guide</w:t>
        <w:tab/>
        <w:tab/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Terms to Know: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Term: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Meaning: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Neutrality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 Lusitania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Zimmerman Telegram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American Expeditionary Force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Sedition 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Woodrow Wilson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Sides of the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Allied Powers (Triple Entente)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Central Powers (Triple Alliance)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7335"/>
        <w:tblGridChange w:id="0">
          <w:tblGrid>
            <w:gridCol w:w="3465"/>
            <w:gridCol w:w="7335"/>
          </w:tblGrid>
        </w:tblGridChange>
      </w:tblGrid>
      <w:tr>
        <w:trPr>
          <w:trHeight w:val="42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</w:tr>
      <w:tr>
        <w:trPr>
          <w:trHeight w:val="2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factors that led to the United States joining World War 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did Woodrow Wilson’s policy change throughout the war?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was South Carolina affected by World War I?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720" w:right="0" w:hanging="36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  <w:t xml:space="preserve">4. What impact did World War I have on African Americans in South Carolina?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